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61180" w14:textId="5A97EBF7" w:rsidR="00142B9C" w:rsidRDefault="00062872" w:rsidP="007C09F0">
      <w:pPr>
        <w:pStyle w:val="a3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RFP Architecture Questionnaire</w:t>
      </w:r>
    </w:p>
    <w:p w14:paraId="7B3A1963" w14:textId="6D2B0929" w:rsidR="00142B9C" w:rsidRDefault="00062872">
      <w:pPr>
        <w:pStyle w:val="3"/>
        <w:rPr>
          <w:rFonts w:ascii="Calibri" w:eastAsia="Calibri" w:hAnsi="Calibri" w:cs="Calibri"/>
        </w:rPr>
      </w:pPr>
      <w:bookmarkStart w:id="0" w:name="_bkpkqob0vla" w:colFirst="0" w:colLast="0"/>
      <w:bookmarkStart w:id="1" w:name="_yvqjykz99fc" w:colFirst="0" w:colLast="0"/>
      <w:bookmarkEnd w:id="0"/>
      <w:bookmarkEnd w:id="1"/>
      <w:r>
        <w:rPr>
          <w:rFonts w:ascii="Calibri" w:eastAsia="Calibri" w:hAnsi="Calibri" w:cs="Calibri"/>
        </w:rPr>
        <w:t>Solution Architecture Questions</w:t>
      </w:r>
    </w:p>
    <w:p w14:paraId="7EECEC83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your architectural approach (FHIR server, Façade, Asynchronous messaging, Hybrid)?</w:t>
      </w:r>
      <w:r>
        <w:rPr>
          <w:rFonts w:ascii="Calibri" w:eastAsia="Calibri" w:hAnsi="Calibri" w:cs="Calibri"/>
        </w:rPr>
        <w:br/>
        <w:t>Consult implementation approaches helper and diagrams below to help you decide.</w:t>
      </w:r>
    </w:p>
    <w:p w14:paraId="623A600A" w14:textId="5BE90E58" w:rsidR="00142B9C" w:rsidRDefault="00062872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architecture diagrams including source, target and intermediary systems, application and storage components, security components. Indicate cloud/on-</w:t>
      </w:r>
      <w:proofErr w:type="spellStart"/>
      <w:r>
        <w:rPr>
          <w:rFonts w:ascii="Calibri" w:eastAsia="Calibri" w:hAnsi="Calibri" w:cs="Calibri"/>
        </w:rPr>
        <w:t>prem</w:t>
      </w:r>
      <w:proofErr w:type="spellEnd"/>
      <w:r>
        <w:rPr>
          <w:rFonts w:ascii="Calibri" w:eastAsia="Calibri" w:hAnsi="Calibri" w:cs="Calibri"/>
        </w:rPr>
        <w:t xml:space="preserve"> separation, if applicable. Indicate vendors and platform names. If custom development is required, indicate runtime platform/programming language.</w:t>
      </w:r>
    </w:p>
    <w:p w14:paraId="7483429C" w14:textId="77777777" w:rsidR="00142B9C" w:rsidRDefault="00062872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data flow diagrams for common scenarios.(attach a number beside each call in the sequence) </w:t>
      </w:r>
    </w:p>
    <w:p w14:paraId="6A9F58D9" w14:textId="7F5833A5" w:rsidR="001C61EE" w:rsidRPr="00062872" w:rsidRDefault="001C61EE" w:rsidP="00EC5391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have more than 300</w:t>
      </w:r>
      <w:r w:rsidR="009412B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approved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API`s, for all </w:t>
      </w:r>
      <w:r w:rsidR="009412B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health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care </w:t>
      </w:r>
      <w:r w:rsidR="009412B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business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area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, exposed to internal and public networks. The API`s </w:t>
      </w:r>
      <w:r w:rsidR="009412B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designed on SOA </w:t>
      </w:r>
      <w:r w:rsidR="00EC5391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architecture</w:t>
      </w:r>
      <w:r w:rsidR="009412B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exposed by TIBCO BW Active matrix engine</w:t>
      </w:r>
      <w:r w:rsidR="00C85104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, on soap over http and JMS and include more that 90% of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business process and </w:t>
      </w:r>
      <w:r w:rsidR="00C85104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our digital functions -  like schedule appointments, create petition for physician, request for claim from digital …</w:t>
      </w:r>
    </w:p>
    <w:p w14:paraId="7E207889" w14:textId="5DCC36C7" w:rsidR="009412BD" w:rsidRPr="00062872" w:rsidRDefault="0077521D" w:rsidP="009412BD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We decided to wrap</w:t>
      </w:r>
      <w:r w:rsidR="009412B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our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soap services with FHIR</w:t>
      </w:r>
      <w:r w:rsidR="009412B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base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 interfaces, with our on premise</w:t>
      </w:r>
      <w:r w:rsidR="009412B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TIBCO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BW 6.x platform HL7 FHIR</w:t>
      </w:r>
      <w:r w:rsidR="009412B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Plugin.</w:t>
      </w:r>
    </w:p>
    <w:p w14:paraId="3EBD1BB4" w14:textId="2348CC2E" w:rsidR="00952494" w:rsidRPr="00062872" w:rsidRDefault="00952494" w:rsidP="009412BD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The source system for the data and the business logic is our legacy AS400 IBM system, based on our Commitments system.</w:t>
      </w:r>
    </w:p>
    <w:p w14:paraId="77DC8CA6" w14:textId="7379100C" w:rsidR="004E7530" w:rsidRPr="00062872" w:rsidRDefault="004E7530" w:rsidP="0077521D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That architectural approach fit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s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FHIR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Façade </w:t>
      </w:r>
      <w:r w:rsidR="00AB14FC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infrastructure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.</w:t>
      </w:r>
    </w:p>
    <w:p w14:paraId="630CA859" w14:textId="35CB9876" w:rsidR="004E7530" w:rsidRPr="00062872" w:rsidRDefault="004E7530" w:rsidP="0077521D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The solution is cordless, rapidly developed, no unnecessary data duplication</w:t>
      </w:r>
      <w:r w:rsidR="00AB14FC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and rel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ies</w:t>
      </w:r>
      <w:r w:rsidR="00AB14FC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on </w:t>
      </w:r>
      <w:proofErr w:type="spellStart"/>
      <w:r w:rsidR="00AB14FC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 w:rsidR="00AB14FC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ESB infrastructure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.</w:t>
      </w:r>
    </w:p>
    <w:p w14:paraId="77A35BD5" w14:textId="12D9F50F" w:rsidR="00A97A77" w:rsidRPr="00062872" w:rsidRDefault="00A97A77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The outcome is 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a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Tibco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="00DA5AF3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project that can run and customize on any </w:t>
      </w:r>
      <w:proofErr w:type="spellStart"/>
      <w:r w:rsidR="00DA5AF3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ibco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="00DA5AF3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BW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6.x platform, and standard swagger file for implement in any platform.</w:t>
      </w:r>
    </w:p>
    <w:p w14:paraId="51070419" w14:textId="49B1F284" w:rsidR="00D0075B" w:rsidRDefault="00D0075B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4AB17F5B" w14:textId="166F91E4" w:rsidR="00BD7931" w:rsidRDefault="00BD7931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513C8469" w14:textId="19B08CE9" w:rsidR="00BD7931" w:rsidRDefault="00BD7931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251A752D" w14:textId="030E1179" w:rsidR="00BD7931" w:rsidRDefault="00BD7931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4DC1056E" w14:textId="00FA28D4" w:rsidR="00BD7931" w:rsidRDefault="00BD7931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17FD0BA9" w14:textId="61B5002D" w:rsidR="00BD7931" w:rsidRDefault="00BD7931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77D4A303" w14:textId="337E9863" w:rsidR="00BD7931" w:rsidRDefault="00BD7931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1AA8CFD4" w14:textId="5939C4E4" w:rsidR="00BD7931" w:rsidRDefault="00BD7931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1843469B" w14:textId="67F871BC" w:rsidR="00BD7931" w:rsidRDefault="00BD7931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4A5BFD8B" w14:textId="29953C62" w:rsidR="00BD7931" w:rsidRDefault="00BD7931" w:rsidP="00BD7931">
      <w:pPr>
        <w:ind w:left="1440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lastRenderedPageBreak/>
        <w:t xml:space="preserve">Protocol </w:t>
      </w:r>
      <w:r w:rsidR="00BB55E2">
        <w:rPr>
          <w:rFonts w:ascii="Calibri" w:eastAsia="Calibri" w:hAnsi="Calibri" w:cs="Calibri"/>
          <w:b/>
          <w:bCs/>
          <w:color w:val="FF0000"/>
          <w:sz w:val="24"/>
          <w:szCs w:val="24"/>
        </w:rPr>
        <w:t>work flow</w:t>
      </w:r>
    </w:p>
    <w:p w14:paraId="200117D7" w14:textId="57EE09EC" w:rsidR="0077521D" w:rsidRPr="00C67CE0" w:rsidRDefault="0077521D" w:rsidP="00306865">
      <w:pPr>
        <w:pStyle w:val="a7"/>
        <w:bidi/>
        <w:rPr>
          <w:color w:val="FF0000"/>
          <w:rtl/>
          <w:lang w:val="en-US"/>
        </w:rPr>
      </w:pPr>
      <w:r>
        <w:rPr>
          <w:rFonts w:hint="cs"/>
          <w:color w:val="FF0000"/>
          <w:rtl/>
        </w:rPr>
        <w:t>ה</w:t>
      </w:r>
      <w:r>
        <w:rPr>
          <w:rFonts w:hint="cs"/>
          <w:color w:val="FF0000"/>
          <w:rtl/>
          <w:lang w:val="en-US"/>
        </w:rPr>
        <w:t>ארכיטקטור</w:t>
      </w:r>
      <w:r>
        <w:rPr>
          <w:rFonts w:hint="eastAsia"/>
          <w:color w:val="FF0000"/>
          <w:rtl/>
          <w:lang w:val="en-US"/>
        </w:rPr>
        <w:t>ה</w:t>
      </w:r>
      <w:r>
        <w:rPr>
          <w:rFonts w:hint="cs"/>
          <w:color w:val="FF0000"/>
          <w:rtl/>
          <w:lang w:val="en-US"/>
        </w:rPr>
        <w:t xml:space="preserve"> סינכרונית</w:t>
      </w:r>
      <w:bookmarkStart w:id="2" w:name="_GoBack"/>
      <w:bookmarkEnd w:id="2"/>
      <w:r w:rsidR="00306865">
        <w:rPr>
          <w:rFonts w:hint="cs"/>
          <w:color w:val="FF0000"/>
          <w:rtl/>
          <w:lang w:val="en-US"/>
        </w:rPr>
        <w:t xml:space="preserve"> - </w:t>
      </w:r>
      <w:r>
        <w:rPr>
          <w:color w:val="FF0000"/>
          <w:lang w:val="en-US"/>
        </w:rPr>
        <w:t>http rest web services</w:t>
      </w:r>
      <w:r>
        <w:rPr>
          <w:rFonts w:hint="cs"/>
          <w:color w:val="FF0000"/>
          <w:rtl/>
          <w:lang w:val="en-US"/>
        </w:rPr>
        <w:t xml:space="preserve"> שמחזירים תשובה במידית באותו </w:t>
      </w:r>
      <w:r>
        <w:rPr>
          <w:color w:val="FF0000"/>
          <w:lang w:val="en-US"/>
        </w:rPr>
        <w:t>http session</w:t>
      </w:r>
      <w:r>
        <w:rPr>
          <w:rFonts w:hint="cs"/>
          <w:color w:val="FF0000"/>
          <w:rtl/>
          <w:lang w:val="en-US"/>
        </w:rPr>
        <w:t xml:space="preserve"> לבקשה עד הקצה של הקיוסק בבית החולים.</w:t>
      </w:r>
    </w:p>
    <w:p w14:paraId="5D3A48A0" w14:textId="77777777" w:rsidR="0077521D" w:rsidRDefault="0077521D" w:rsidP="00BD7931">
      <w:pPr>
        <w:ind w:left="1440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2E6E94B8" w14:textId="60C1A6F2" w:rsidR="00D0075B" w:rsidRPr="0077521D" w:rsidRDefault="00E71D20" w:rsidP="0077521D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659847B" wp14:editId="523615C2">
            <wp:simplePos x="0" y="0"/>
            <wp:positionH relativeFrom="margin">
              <wp:posOffset>-847725</wp:posOffset>
            </wp:positionH>
            <wp:positionV relativeFrom="paragraph">
              <wp:posOffset>266065</wp:posOffset>
            </wp:positionV>
            <wp:extent cx="6830695" cy="2829560"/>
            <wp:effectExtent l="0" t="0" r="8255" b="8890"/>
            <wp:wrapTight wrapText="bothSides">
              <wp:wrapPolygon edited="0">
                <wp:start x="0" y="0"/>
                <wp:lineTo x="0" y="21522"/>
                <wp:lineTo x="21566" y="21522"/>
                <wp:lineTo x="21566" y="0"/>
                <wp:lineTo x="0" y="0"/>
              </wp:wrapPolygon>
            </wp:wrapTight>
            <wp:docPr id="8" name="Picture 8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21EA2" w14:textId="673B6125" w:rsidR="00CE5CCB" w:rsidRPr="0077521D" w:rsidRDefault="006A5AE2" w:rsidP="005E2DC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77521D">
        <w:rPr>
          <w:rFonts w:ascii="Calibri" w:eastAsia="Calibri" w:hAnsi="Calibri" w:cs="Calibri"/>
          <w:b/>
          <w:bCs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9B9E5" wp14:editId="13B65710">
                <wp:simplePos x="0" y="0"/>
                <wp:positionH relativeFrom="column">
                  <wp:posOffset>3884023</wp:posOffset>
                </wp:positionH>
                <wp:positionV relativeFrom="paragraph">
                  <wp:posOffset>3873832</wp:posOffset>
                </wp:positionV>
                <wp:extent cx="803632" cy="266065"/>
                <wp:effectExtent l="57150" t="19050" r="53975" b="768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632" cy="2660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49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B50E0" w14:textId="55DEA128" w:rsidR="006A5AE2" w:rsidRPr="006A5AE2" w:rsidRDefault="006A5AE2" w:rsidP="006A5AE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A5AE2">
                              <w:rPr>
                                <w:sz w:val="20"/>
                                <w:szCs w:val="20"/>
                                <w:lang w:val="en-US"/>
                              </w:rPr>
                              <w:t>Coverage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19B9E5" id="Rectangle 12" o:spid="_x0000_s1026" style="position:absolute;left:0;text-align:left;margin-left:305.85pt;margin-top:305.05pt;width:63.3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" fillcolor="#4f81bd [3204]" stroked="f">
                <v:fill color2="#fabf8f [1945]" rotate="t" angle="180" colors="0 #3f80cd;32113f #fac09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06B50E0" w14:textId="55DEA128" w:rsidR="006A5AE2" w:rsidRPr="006A5AE2" w:rsidRDefault="006A5AE2" w:rsidP="006A5AE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A5AE2">
                        <w:rPr>
                          <w:sz w:val="20"/>
                          <w:szCs w:val="20"/>
                          <w:lang w:val="en-US"/>
                        </w:rPr>
                        <w:t>Coverage</w:t>
                      </w:r>
                    </w:p>
                  </w:txbxContent>
                </v:textbox>
              </v:rect>
            </w:pict>
          </mc:Fallback>
        </mc:AlternateContent>
      </w:r>
      <w:r w:rsidRPr="0077521D">
        <w:rPr>
          <w:rFonts w:ascii="Calibri" w:eastAsia="Calibri" w:hAnsi="Calibri" w:cs="Calibri"/>
          <w:b/>
          <w:bCs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EE351" wp14:editId="700BAC6A">
                <wp:simplePos x="0" y="0"/>
                <wp:positionH relativeFrom="column">
                  <wp:posOffset>2859206</wp:posOffset>
                </wp:positionH>
                <wp:positionV relativeFrom="paragraph">
                  <wp:posOffset>3566757</wp:posOffset>
                </wp:positionV>
                <wp:extent cx="1842306" cy="266065"/>
                <wp:effectExtent l="57150" t="19050" r="62865" b="768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306" cy="2660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49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77B61" w14:textId="2602D480" w:rsidR="006A5AE2" w:rsidRPr="006A5AE2" w:rsidRDefault="006A5AE2" w:rsidP="006A5AE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A5AE2">
                              <w:rPr>
                                <w:sz w:val="20"/>
                                <w:szCs w:val="20"/>
                                <w:lang w:val="en-US"/>
                              </w:rPr>
                              <w:t>CoverageEligibilityResponse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E351" id="Rectangle 11" o:spid="_x0000_s1027" style="position:absolute;left:0;text-align:left;margin-left:225.15pt;margin-top:280.85pt;width:145.0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" fillcolor="#4f81bd [3204]" stroked="f">
                <v:fill color2="#fabf8f [1945]" rotate="t" angle="180" colors="0 #3f80cd;32113f #fac09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C777B61" w14:textId="2602D480" w:rsidR="006A5AE2" w:rsidRPr="006A5AE2" w:rsidRDefault="006A5AE2" w:rsidP="006A5AE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A5AE2">
                        <w:rPr>
                          <w:sz w:val="20"/>
                          <w:szCs w:val="20"/>
                          <w:lang w:val="en-US"/>
                        </w:rPr>
                        <w:t>CoverageEligibilityResponse</w:t>
                      </w:r>
                    </w:p>
                  </w:txbxContent>
                </v:textbox>
              </v:rect>
            </w:pict>
          </mc:Fallback>
        </mc:AlternateContent>
      </w:r>
      <w:r w:rsidR="0077521D" w:rsidRPr="0077521D">
        <w:rPr>
          <w:rFonts w:ascii="Calibri" w:eastAsia="Calibri" w:hAnsi="Calibri" w:cs="Calibri"/>
          <w:b/>
          <w:bCs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F3935" wp14:editId="09F87DB0">
                <wp:simplePos x="0" y="0"/>
                <wp:positionH relativeFrom="column">
                  <wp:posOffset>3451024</wp:posOffset>
                </wp:positionH>
                <wp:positionV relativeFrom="paragraph">
                  <wp:posOffset>3000375</wp:posOffset>
                </wp:positionV>
                <wp:extent cx="1741930" cy="266065"/>
                <wp:effectExtent l="57150" t="19050" r="48895" b="768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930" cy="2660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49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E75DA" w14:textId="08D40D85" w:rsidR="006A5AE2" w:rsidRPr="006A5AE2" w:rsidRDefault="006A5AE2" w:rsidP="006A5AE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A5AE2">
                              <w:rPr>
                                <w:sz w:val="20"/>
                                <w:szCs w:val="20"/>
                                <w:lang w:val="en-US"/>
                              </w:rPr>
                              <w:t>CoverageEligibilityRequest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3935" id="Rectangle 9" o:spid="_x0000_s1028" style="position:absolute;left:0;text-align:left;margin-left:271.75pt;margin-top:236.25pt;width:137.1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" fillcolor="#4f81bd [3204]" stroked="f">
                <v:fill color2="#fabf8f [1945]" rotate="t" angle="180" colors="0 #3f80cd;32113f #fac09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68E75DA" w14:textId="08D40D85" w:rsidR="006A5AE2" w:rsidRPr="006A5AE2" w:rsidRDefault="006A5AE2" w:rsidP="006A5AE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A5AE2">
                        <w:rPr>
                          <w:sz w:val="20"/>
                          <w:szCs w:val="20"/>
                          <w:lang w:val="en-US"/>
                        </w:rPr>
                        <w:t>CoverageEligibilityRequest</w:t>
                      </w:r>
                    </w:p>
                  </w:txbxContent>
                </v:textbox>
              </v:rect>
            </w:pict>
          </mc:Fallback>
        </mc:AlternateContent>
      </w:r>
    </w:p>
    <w:p w14:paraId="72CE10A7" w14:textId="77777777" w:rsidR="00CE5CCB" w:rsidRDefault="00CE5CCB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463C5743" wp14:editId="35FCAFCF">
            <wp:simplePos x="0" y="0"/>
            <wp:positionH relativeFrom="column">
              <wp:posOffset>0</wp:posOffset>
            </wp:positionH>
            <wp:positionV relativeFrom="paragraph">
              <wp:posOffset>-711</wp:posOffset>
            </wp:positionV>
            <wp:extent cx="5924550" cy="6067425"/>
            <wp:effectExtent l="0" t="0" r="0" b="9525"/>
            <wp:wrapTight wrapText="bothSides">
              <wp:wrapPolygon edited="0">
                <wp:start x="0" y="0"/>
                <wp:lineTo x="0" y="21566"/>
                <wp:lineTo x="21531" y="21566"/>
                <wp:lineTo x="21531" y="0"/>
                <wp:lineTo x="0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61D4C5" w14:textId="77777777" w:rsidR="00D0075B" w:rsidRDefault="00D0075B" w:rsidP="00DA5AF3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0FF92FE6" w14:textId="77777777" w:rsidR="003D15BF" w:rsidRPr="00A97A77" w:rsidRDefault="003D15BF" w:rsidP="00DA5AF3">
      <w:pPr>
        <w:ind w:left="1440"/>
        <w:rPr>
          <w:rFonts w:ascii="Calibri" w:eastAsia="Calibri" w:hAnsi="Calibri" w:cs="Calibri"/>
          <w:color w:val="FF0000"/>
        </w:rPr>
      </w:pPr>
    </w:p>
    <w:p w14:paraId="65AF4A2B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total dataset size that you will be exposing via FHIR? Is this data originating from/should be copied to other organizational systems?</w:t>
      </w:r>
    </w:p>
    <w:p w14:paraId="10BD35A1" w14:textId="422FEC33" w:rsidR="00952494" w:rsidRPr="00062872" w:rsidRDefault="00952494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The average data size is 10kb and data should not be cop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ied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or duplicate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, except of logs that documented for the monitoring system.</w:t>
      </w:r>
      <w:r w:rsidR="007F2B4F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="007F2B4F" w:rsidRPr="007F2B4F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The answers </w:t>
      </w:r>
      <w:r w:rsidR="007F2B4F"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returned are</w:t>
      </w:r>
      <w:r w:rsidR="007F2B4F" w:rsidRPr="0077521D">
        <w:rPr>
          <w:rFonts w:ascii="Calibri" w:eastAsia="Calibri" w:hAnsi="Calibri" w:cs="Calibri"/>
        </w:rPr>
        <w:t xml:space="preserve"> </w:t>
      </w:r>
      <w:r w:rsidR="007F2B4F"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intended only to</w:t>
      </w:r>
      <w:r w:rsidR="007F2B4F" w:rsidRPr="007F2B4F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continue the process but are not saved in any database apart </w:t>
      </w:r>
      <w:r w:rsidR="007F2B4F"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for</w:t>
      </w:r>
      <w:r w:rsidR="007F2B4F" w:rsidRPr="0077521D">
        <w:rPr>
          <w:rFonts w:ascii="Calibri" w:eastAsia="Calibri" w:hAnsi="Calibri" w:cs="Calibri"/>
        </w:rPr>
        <w:t xml:space="preserve"> </w:t>
      </w:r>
      <w:r w:rsidR="007F2B4F"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tracing</w:t>
      </w:r>
      <w:r w:rsidR="007F2B4F" w:rsidRPr="007F2B4F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and monitoring purposes.</w:t>
      </w:r>
    </w:p>
    <w:p w14:paraId="45BF2B71" w14:textId="77777777" w:rsidR="00952494" w:rsidRDefault="00952494" w:rsidP="00952494">
      <w:pPr>
        <w:ind w:left="720"/>
        <w:rPr>
          <w:rFonts w:ascii="Calibri" w:eastAsia="Calibri" w:hAnsi="Calibri" w:cs="Calibri"/>
        </w:rPr>
      </w:pPr>
    </w:p>
    <w:p w14:paraId="51F2729B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data must be synchronized with other organizational systems - what is the acceptable synchronization delay?</w:t>
      </w:r>
    </w:p>
    <w:p w14:paraId="5D237501" w14:textId="6600BDA4" w:rsidR="00C934F1" w:rsidRPr="0077521D" w:rsidRDefault="00C934F1" w:rsidP="0077521D">
      <w:pPr>
        <w:ind w:left="360" w:firstLine="360"/>
        <w:rPr>
          <w:rFonts w:ascii="Calibri" w:eastAsia="Calibri" w:hAnsi="Calibri" w:cs="Calibri"/>
          <w:b/>
          <w:bCs/>
          <w:color w:val="FF0000"/>
        </w:rPr>
      </w:pPr>
      <w:r w:rsidRPr="0077521D">
        <w:rPr>
          <w:rFonts w:ascii="Calibri" w:eastAsia="Calibri" w:hAnsi="Calibri" w:cs="Calibri"/>
          <w:b/>
          <w:bCs/>
          <w:color w:val="FF0000"/>
        </w:rPr>
        <w:t>The data should b</w:t>
      </w:r>
      <w:r w:rsidR="0077521D" w:rsidRPr="0077521D">
        <w:rPr>
          <w:rFonts w:ascii="Calibri" w:eastAsia="Calibri" w:hAnsi="Calibri" w:cs="Calibri"/>
          <w:b/>
          <w:bCs/>
          <w:color w:val="FF0000"/>
        </w:rPr>
        <w:t>e</w:t>
      </w:r>
      <w:r w:rsidRPr="0077521D">
        <w:rPr>
          <w:rFonts w:ascii="Calibri" w:eastAsia="Calibri" w:hAnsi="Calibri" w:cs="Calibri"/>
          <w:b/>
          <w:bCs/>
          <w:color w:val="FF0000"/>
        </w:rPr>
        <w:t xml:space="preserve"> </w:t>
      </w:r>
      <w:r w:rsidR="00E214F1" w:rsidRPr="0077521D">
        <w:rPr>
          <w:rFonts w:ascii="Calibri" w:eastAsia="Calibri" w:hAnsi="Calibri" w:cs="Calibri"/>
          <w:b/>
          <w:bCs/>
          <w:color w:val="FF0000"/>
        </w:rPr>
        <w:t>real-time</w:t>
      </w:r>
      <w:r w:rsidRPr="0077521D">
        <w:rPr>
          <w:rFonts w:ascii="Calibri" w:eastAsia="Calibri" w:hAnsi="Calibri" w:cs="Calibri"/>
          <w:b/>
          <w:bCs/>
          <w:color w:val="FF0000"/>
        </w:rPr>
        <w:t xml:space="preserve"> from our commitments system.</w:t>
      </w:r>
    </w:p>
    <w:p w14:paraId="344C9941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size of a single record (in a business sense - might include several FHIR resources) that will be transferred? What's the number of records to be transferred per day/during peak load?</w:t>
      </w:r>
    </w:p>
    <w:p w14:paraId="79A0300C" w14:textId="77777777" w:rsidR="00C934F1" w:rsidRPr="00062872" w:rsidRDefault="00C934F1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The load </w:t>
      </w:r>
      <w:r w:rsidR="008C294F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for </w:t>
      </w:r>
      <w:proofErr w:type="spellStart"/>
      <w:r w:rsidR="008C294F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Ichlov</w:t>
      </w:r>
      <w:proofErr w:type="spellEnd"/>
      <w:r w:rsidR="008C294F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medical center, 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can be more than </w:t>
      </w:r>
      <w:r w:rsidR="00410C7D">
        <w:rPr>
          <w:rFonts w:ascii="Calibri" w:eastAsia="Calibri" w:hAnsi="Calibri" w:cs="Calibri"/>
          <w:b/>
          <w:bCs/>
          <w:color w:val="FF0000"/>
          <w:sz w:val="24"/>
          <w:szCs w:val="24"/>
        </w:rPr>
        <w:t>380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request per day and each call can includes 10 records.</w:t>
      </w:r>
    </w:p>
    <w:p w14:paraId="1160299C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the FHIR interface be exposed to multiple consumers? What is the expected number of consumers?  What is the expected amount of concurrent requests during peak load?</w:t>
      </w:r>
    </w:p>
    <w:p w14:paraId="6CBE9E7D" w14:textId="05EDBD4B" w:rsidR="0077521D" w:rsidRPr="0077521D" w:rsidRDefault="008C294F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The </w:t>
      </w:r>
      <w:r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potential can by all </w:t>
      </w:r>
      <w:proofErr w:type="spellStart"/>
      <w:r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external suppliers, more than 500. That is potential of 500K request per day</w:t>
      </w:r>
      <w:r w:rsidR="0077521D"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: </w:t>
      </w:r>
      <w:r w:rsidR="0077521D">
        <w:rPr>
          <w:b/>
          <w:bCs/>
          <w:color w:val="FF0000"/>
        </w:rPr>
        <w:t xml:space="preserve">the </w:t>
      </w:r>
      <w:r w:rsidR="0077521D" w:rsidRPr="0077521D">
        <w:rPr>
          <w:b/>
          <w:bCs/>
          <w:color w:val="FF0000"/>
        </w:rPr>
        <w:t xml:space="preserve">future estimation for 3 years from now, for all types of requests and for all </w:t>
      </w:r>
      <w:proofErr w:type="spellStart"/>
      <w:r w:rsidR="0077521D" w:rsidRPr="0077521D">
        <w:rPr>
          <w:b/>
          <w:bCs/>
          <w:color w:val="FF0000"/>
        </w:rPr>
        <w:t>meuhedet</w:t>
      </w:r>
      <w:proofErr w:type="spellEnd"/>
      <w:r w:rsidR="0077521D" w:rsidRPr="0077521D">
        <w:rPr>
          <w:b/>
          <w:bCs/>
          <w:color w:val="FF0000"/>
        </w:rPr>
        <w:t xml:space="preserve"> suppliers. We have 1800 suppliers and our forecast is 1000 a day for all kind of request, for 500 suppliers</w:t>
      </w:r>
      <w:r w:rsidR="0077521D">
        <w:rPr>
          <w:color w:val="FF0000"/>
        </w:rPr>
        <w:t>.</w:t>
      </w:r>
    </w:p>
    <w:p w14:paraId="69B3169A" w14:textId="77777777" w:rsidR="0077521D" w:rsidRPr="00062872" w:rsidRDefault="0077521D" w:rsidP="00062872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0AF98358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infrastructure/platform will be used for FHIR server/façade/messaging? Provide vendor and system names. Is it already present in your organization or will be acquired/installed for the project? Does it natively support FHIR in client and/or server modes (i.e. FHIR client and/or FHIR server/facade is built into the platform) or it will require additional extensions/modules/custom development?</w:t>
      </w:r>
    </w:p>
    <w:p w14:paraId="21307AE5" w14:textId="77777777" w:rsidR="007F2B4F" w:rsidRPr="007F2B4F" w:rsidRDefault="007F2B4F" w:rsidP="0077521D">
      <w:pPr>
        <w:ind w:firstLine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proofErr w:type="spellStart"/>
      <w:r w:rsidRPr="007F2B4F"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 w:rsidRPr="007F2B4F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-</w:t>
      </w:r>
    </w:p>
    <w:p w14:paraId="5BE7784F" w14:textId="68FABE1E" w:rsidR="004339EB" w:rsidRDefault="004339EB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The client we will use to implement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Fhir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is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Tibco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HL7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Fhir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="0042210E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Plugin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, is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Fhir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Certificate Client for </w:t>
      </w:r>
      <w:proofErr w:type="spellStart"/>
      <w:r w:rsidR="007E2051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Fhir</w:t>
      </w:r>
      <w:proofErr w:type="spellEnd"/>
      <w:r w:rsidR="007E2051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and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="003D638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natively support and restrict </w:t>
      </w:r>
      <w:proofErr w:type="spellStart"/>
      <w:r w:rsidR="003D638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Fhir</w:t>
      </w:r>
      <w:proofErr w:type="spellEnd"/>
      <w:r w:rsidR="003D638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standard. Need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to be install and licensed.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F</w:t>
      </w:r>
      <w:r w:rsidR="0077521D"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or this eligibility check MEUHEDET is only the server side, </w:t>
      </w:r>
      <w:proofErr w:type="gramStart"/>
      <w:r w:rsidR="0077521D"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its</w:t>
      </w:r>
      <w:proofErr w:type="gramEnd"/>
      <w:r w:rsidR="0077521D" w:rsidRP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relevant only for future interfaces. </w:t>
      </w:r>
    </w:p>
    <w:p w14:paraId="59FF55B9" w14:textId="77777777" w:rsidR="005C1542" w:rsidRDefault="005C1542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We discussed and agree on extension for the error object on the coverage eligibility response.</w:t>
      </w:r>
    </w:p>
    <w:p w14:paraId="3388910B" w14:textId="77777777" w:rsidR="005C1542" w:rsidRDefault="005C1542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The reason is the resource coverage request, get area of treatments codes and the response returns commitments for the treatments codes.</w:t>
      </w:r>
    </w:p>
    <w:p w14:paraId="19312FFC" w14:textId="77777777" w:rsidR="005C1542" w:rsidRDefault="005C1542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There are treatments codes that don’t have commitments for several reasons – the treatments codes don’t exists, treatments codes not approved…</w:t>
      </w:r>
    </w:p>
    <w:p w14:paraId="0F0A99FC" w14:textId="77777777" w:rsidR="00DA3C01" w:rsidRDefault="00DA3C01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That reason we should have </w:t>
      </w:r>
      <w:r w:rsidR="00D61661">
        <w:rPr>
          <w:rFonts w:ascii="Calibri" w:eastAsia="Calibri" w:hAnsi="Calibri" w:cs="Calibri"/>
          <w:b/>
          <w:bCs/>
          <w:color w:val="FF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more string fields on the error element - treatments codes and error description.</w:t>
      </w:r>
    </w:p>
    <w:p w14:paraId="24C21E4F" w14:textId="77777777" w:rsidR="00D0075B" w:rsidRPr="00D0075B" w:rsidRDefault="00D0075B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proofErr w:type="spellStart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Soraski’s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The product is </w:t>
      </w:r>
      <w:proofErr w:type="spellStart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HealthShare</w:t>
      </w:r>
      <w:proofErr w:type="spellEnd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Health Connect version </w:t>
      </w:r>
      <w:proofErr w:type="gramStart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2021.1</w:t>
      </w:r>
      <w:r w:rsidRPr="00D0075B">
        <w:rPr>
          <w:rFonts w:ascii="Calibri" w:eastAsia="Calibri" w:hAnsi="Calibri" w:cs="Calibri" w:hint="cs"/>
          <w:b/>
          <w:bCs/>
          <w:color w:val="FF0000"/>
          <w:sz w:val="24"/>
          <w:szCs w:val="24"/>
          <w:rtl/>
        </w:rPr>
        <w:t xml:space="preserve"> </w:t>
      </w:r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Vendor</w:t>
      </w:r>
      <w:proofErr w:type="gramEnd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: </w:t>
      </w:r>
      <w:proofErr w:type="spellStart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Intersystems</w:t>
      </w:r>
      <w:proofErr w:type="spellEnd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.</w:t>
      </w:r>
    </w:p>
    <w:p w14:paraId="4611744C" w14:textId="77777777" w:rsidR="00D0075B" w:rsidRPr="00D0075B" w:rsidRDefault="00D0075B" w:rsidP="0077521D">
      <w:pPr>
        <w:ind w:firstLine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The product is already installed in the organization as a dedicated integration server.</w:t>
      </w:r>
    </w:p>
    <w:p w14:paraId="26A758E9" w14:textId="77777777" w:rsidR="00D0075B" w:rsidRPr="00D0075B" w:rsidRDefault="00D0075B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The product natively supports FHIR in both client and server modes.</w:t>
      </w:r>
    </w:p>
    <w:p w14:paraId="7D0A9930" w14:textId="77777777" w:rsidR="00D0075B" w:rsidRDefault="00D0075B" w:rsidP="00D61661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1AA3CFA2" w14:textId="77777777" w:rsidR="007F2B4F" w:rsidRPr="00062872" w:rsidRDefault="007F2B4F" w:rsidP="00D61661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196143CF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 applicable - how scalability/availability/redundancy will be addressed?</w:t>
      </w:r>
    </w:p>
    <w:p w14:paraId="43731A64" w14:textId="77777777" w:rsidR="00C60EEC" w:rsidRDefault="00C60EEC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have a full redundancy, based on F5 and ESB infrastructure, that’s running on duplicate systems on 2 different sites. The infrastructure monitored 24/7 with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monitoring systems.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Tibco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Active Matrix infrastructure have built in </w:t>
      </w:r>
      <w:r w:rsidR="00895489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scale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up tolls and </w:t>
      </w:r>
      <w:r w:rsidR="003D638D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utilities, for</w:t>
      </w:r>
      <w:r w:rsidR="00ED42E8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on premise virtual servers.</w:t>
      </w:r>
    </w:p>
    <w:p w14:paraId="31C83F07" w14:textId="77777777" w:rsidR="00D0075B" w:rsidRPr="00CE5CCB" w:rsidRDefault="00D0075B" w:rsidP="00D0075B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proofErr w:type="spellStart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Soraski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Pr="00CE5CC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data is kept for a period of time in </w:t>
      </w:r>
      <w:proofErr w:type="spellStart"/>
      <w:r w:rsidRPr="00CE5CCB">
        <w:rPr>
          <w:rFonts w:ascii="Calibri" w:eastAsia="Calibri" w:hAnsi="Calibri" w:cs="Calibri"/>
          <w:b/>
          <w:bCs/>
          <w:color w:val="FF0000"/>
          <w:sz w:val="24"/>
          <w:szCs w:val="24"/>
        </w:rPr>
        <w:t>HealthShare</w:t>
      </w:r>
      <w:proofErr w:type="spellEnd"/>
      <w:r w:rsidRPr="00CE5CC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Health Connect for monitoring purposes only and deleted periodically.</w:t>
      </w:r>
    </w:p>
    <w:p w14:paraId="6A26BB12" w14:textId="77777777" w:rsidR="00D0075B" w:rsidRPr="00062872" w:rsidRDefault="00D0075B" w:rsidP="00062872">
      <w:pPr>
        <w:ind w:left="144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6AE37EF9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FHIR façade/Server will be used - where and how data will be stored?</w:t>
      </w:r>
    </w:p>
    <w:p w14:paraId="348B03B4" w14:textId="77777777" w:rsidR="00897359" w:rsidRPr="00897359" w:rsidRDefault="00897359" w:rsidP="0077521D">
      <w:pPr>
        <w:ind w:firstLine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897359">
        <w:rPr>
          <w:rFonts w:ascii="Calibri" w:eastAsia="Calibri" w:hAnsi="Calibri" w:cs="Calibri"/>
          <w:b/>
          <w:bCs/>
          <w:color w:val="FF0000"/>
          <w:sz w:val="24"/>
          <w:szCs w:val="24"/>
        </w:rPr>
        <w:t>No data will duplicate, all data stay on the internal source system.</w:t>
      </w:r>
    </w:p>
    <w:p w14:paraId="5419E3EF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Where will the components of the solution be located (on-</w:t>
      </w:r>
      <w:proofErr w:type="spellStart"/>
      <w:r>
        <w:rPr>
          <w:rFonts w:ascii="Calibri" w:eastAsia="Calibri" w:hAnsi="Calibri" w:cs="Calibri"/>
        </w:rPr>
        <w:t>prem</w:t>
      </w:r>
      <w:proofErr w:type="spellEnd"/>
      <w:r>
        <w:rPr>
          <w:rFonts w:ascii="Calibri" w:eastAsia="Calibri" w:hAnsi="Calibri" w:cs="Calibri"/>
        </w:rPr>
        <w:t xml:space="preserve">/cloud/hybrid)? If on a </w:t>
      </w:r>
      <w:proofErr w:type="gramStart"/>
      <w:r>
        <w:rPr>
          <w:rFonts w:ascii="Calibri" w:eastAsia="Calibri" w:hAnsi="Calibri" w:cs="Calibri"/>
        </w:rPr>
        <w:t>cloud ,</w:t>
      </w:r>
      <w:proofErr w:type="gramEnd"/>
      <w:r>
        <w:rPr>
          <w:rFonts w:ascii="Calibri" w:eastAsia="Calibri" w:hAnsi="Calibri" w:cs="Calibri"/>
        </w:rPr>
        <w:t xml:space="preserve"> please describe which provider</w:t>
      </w:r>
      <w:r w:rsidR="001D0E44">
        <w:rPr>
          <w:rFonts w:ascii="Calibri" w:eastAsia="Calibri" w:hAnsi="Calibri" w:cs="Calibri"/>
        </w:rPr>
        <w:t xml:space="preserve">. </w:t>
      </w:r>
      <w:r w:rsidR="001D0E44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On premise.</w:t>
      </w:r>
    </w:p>
    <w:p w14:paraId="004A35F9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will the FHIR interface be monitored for quality &amp; availability?</w:t>
      </w:r>
    </w:p>
    <w:p w14:paraId="3A054562" w14:textId="77777777" w:rsidR="00CE778A" w:rsidRPr="00062872" w:rsidRDefault="003D638D" w:rsidP="00CE778A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have CA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Nim</w:t>
      </w:r>
      <w:r w:rsidR="00CE778A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Soft</w:t>
      </w:r>
      <w:proofErr w:type="spellEnd"/>
      <w:r w:rsidR="00CE778A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monitoring system and </w:t>
      </w:r>
      <w:r w:rsidR="0042210E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Glass Box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.</w:t>
      </w:r>
    </w:p>
    <w:p w14:paraId="774395B8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the interface will be secured (VPN, static IPs, TLS &amp; certificates, etc.)? Will specialized security platforms/gateways be used for online/asynchronous schema validation? If yes, do they natively support FHIR?</w:t>
      </w:r>
    </w:p>
    <w:p w14:paraId="76D3A941" w14:textId="276F62F6" w:rsidR="00933C78" w:rsidRPr="00062872" w:rsidRDefault="00933C78" w:rsidP="0077521D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use rout base on static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ip</w:t>
      </w:r>
      <w:proofErr w:type="spellEnd"/>
      <w:r w:rsidR="009D7E38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Over SSL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, F5 </w:t>
      </w:r>
      <w:r w:rsidR="00764118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rout and 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Load balance, 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API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getaway for Authentication and Authorization, based on JWT token</w:t>
      </w:r>
      <w:r w:rsidR="00471BC8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, transfer on the Bearer Header</w:t>
      </w:r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. The validation base on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Tibco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Fhir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plugin, on the </w:t>
      </w:r>
      <w:proofErr w:type="spellStart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Tibco</w:t>
      </w:r>
      <w:proofErr w:type="spellEnd"/>
      <w:r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ESB layer.</w:t>
      </w:r>
    </w:p>
    <w:p w14:paraId="311114BB" w14:textId="77777777" w:rsidR="00A81334" w:rsidRPr="00D558D5" w:rsidRDefault="00A81334" w:rsidP="00A81334">
      <w:pPr>
        <w:rPr>
          <w:rFonts w:ascii="Calibri" w:eastAsia="Calibri" w:hAnsi="Calibri" w:cs="Calibri"/>
          <w:color w:val="FF0000"/>
          <w:lang w:val="en-US"/>
        </w:rPr>
      </w:pPr>
      <w:r w:rsidRPr="00A81334">
        <w:rPr>
          <w:rFonts w:ascii="Calibri" w:eastAsia="Calibri" w:hAnsi="Calibri" w:cs="Calibri"/>
          <w:noProof/>
          <w:color w:val="FF0000"/>
          <w:lang w:val="en-US"/>
        </w:rPr>
        <w:drawing>
          <wp:inline distT="0" distB="0" distL="0" distR="0" wp14:anchorId="361F73C6" wp14:editId="6FA95276">
            <wp:extent cx="5943600" cy="3187148"/>
            <wp:effectExtent l="0" t="0" r="0" b="0"/>
            <wp:docPr id="6" name="תמונה 6" descr="T:\EAI\מצגות\secrity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EAI\מצגות\secrityEs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515FC" w14:textId="77777777" w:rsidR="00A81334" w:rsidRDefault="00A81334" w:rsidP="00A81334">
      <w:pPr>
        <w:rPr>
          <w:rFonts w:ascii="Calibri" w:eastAsia="Calibri" w:hAnsi="Calibri" w:cs="Calibri"/>
          <w:color w:val="FF0000"/>
        </w:rPr>
      </w:pPr>
    </w:p>
    <w:p w14:paraId="16394C66" w14:textId="77777777" w:rsidR="00A81334" w:rsidRPr="002D6E1F" w:rsidRDefault="00A81334" w:rsidP="00A81334">
      <w:pPr>
        <w:rPr>
          <w:rFonts w:ascii="Calibri" w:eastAsia="Calibri" w:hAnsi="Calibri" w:cs="Calibri"/>
          <w:color w:val="FF0000"/>
        </w:rPr>
      </w:pPr>
    </w:p>
    <w:p w14:paraId="2F34B59B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message based asynchronous communication - how data will be packaged (e.g. resources as individual files, FHIR bundle, custom envelope format - e.g. JSON array, bulk FHIR, etc.). Will space optimization (e.g. compression, BSON) be used? Is the selected infrastructure/platform compatible with the chosen format out of the box or additional customizations will be required?</w:t>
      </w:r>
    </w:p>
    <w:p w14:paraId="1427B8E7" w14:textId="77777777" w:rsidR="00A60A96" w:rsidRDefault="00D0075B" w:rsidP="00A60A96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On </w:t>
      </w:r>
      <w:proofErr w:type="spellStart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side - </w:t>
      </w:r>
      <w:r w:rsidR="00A60A96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Massaging mechanism based on </w:t>
      </w:r>
      <w:proofErr w:type="spellStart"/>
      <w:r w:rsidR="00A60A96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Tibco</w:t>
      </w:r>
      <w:proofErr w:type="spellEnd"/>
      <w:r w:rsidR="00A60A96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EMS massaging Queueing system over JMS. The Massages are JSON packed in bundle of Coverage Eligibility Request</w:t>
      </w:r>
      <w:r w:rsidR="00AB5FEA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resource with the out of the box structure.</w:t>
      </w:r>
    </w:p>
    <w:p w14:paraId="52ED353B" w14:textId="77777777" w:rsidR="00D0075B" w:rsidRPr="00CE5CCB" w:rsidRDefault="00D0075B" w:rsidP="00D0075B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On </w:t>
      </w:r>
      <w:proofErr w:type="spellStart"/>
      <w:proofErr w:type="gramStart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Soraski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 side</w:t>
      </w:r>
      <w:proofErr w:type="gramEnd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- </w:t>
      </w:r>
      <w:r w:rsidRPr="00CE5CC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The resources are sent as part of a FHIR Bundle – </w:t>
      </w:r>
      <w:proofErr w:type="spellStart"/>
      <w:r w:rsidRPr="00CE5CCB">
        <w:rPr>
          <w:rFonts w:ascii="Calibri" w:eastAsia="Calibri" w:hAnsi="Calibri" w:cs="Calibri"/>
          <w:b/>
          <w:bCs/>
          <w:color w:val="FF0000"/>
          <w:sz w:val="24"/>
          <w:szCs w:val="24"/>
        </w:rPr>
        <w:t>HealthShare</w:t>
      </w:r>
      <w:proofErr w:type="spellEnd"/>
      <w:r w:rsidRPr="00CE5CCB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Health Connect natively supports it.</w:t>
      </w:r>
    </w:p>
    <w:p w14:paraId="712004ED" w14:textId="77777777" w:rsidR="00D0075B" w:rsidRPr="00062872" w:rsidRDefault="00D0075B" w:rsidP="00A60A96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7469F8E6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FHIR resources conformance validation be performed and if yes - how it'll be done (online/ batch, what tools/infrastructure will be used)?</w:t>
      </w:r>
    </w:p>
    <w:p w14:paraId="207E72B0" w14:textId="77777777" w:rsidR="00AB5FEA" w:rsidRPr="00062872" w:rsidRDefault="00F152CD" w:rsidP="00E32E51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Validation by swagger structure and </w:t>
      </w:r>
      <w:r w:rsidR="00E32E51">
        <w:rPr>
          <w:rFonts w:ascii="Calibri" w:eastAsia="Calibri" w:hAnsi="Calibri" w:cs="Calibri"/>
          <w:b/>
          <w:bCs/>
          <w:color w:val="FF0000"/>
          <w:sz w:val="24"/>
          <w:szCs w:val="24"/>
        </w:rPr>
        <w:t>XSD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schema</w:t>
      </w:r>
      <w:r w:rsidR="00AB5FEA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.</w:t>
      </w:r>
    </w:p>
    <w:p w14:paraId="2E028967" w14:textId="77777777" w:rsidR="00142B9C" w:rsidRDefault="00062872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</w:t>
      </w:r>
      <w:proofErr w:type="spellStart"/>
      <w:r>
        <w:rPr>
          <w:rFonts w:ascii="Calibri" w:eastAsia="Calibri" w:hAnsi="Calibri" w:cs="Calibri"/>
        </w:rPr>
        <w:t>codesystems</w:t>
      </w:r>
      <w:proofErr w:type="spellEnd"/>
      <w:r>
        <w:rPr>
          <w:rFonts w:ascii="Calibri" w:eastAsia="Calibri" w:hAnsi="Calibri" w:cs="Calibri"/>
        </w:rPr>
        <w:t xml:space="preserve"> validation be performed and if yes - how it'll be done (online/ batch, what tools/infrastructure will be used)?</w:t>
      </w:r>
    </w:p>
    <w:p w14:paraId="325E087D" w14:textId="77777777" w:rsidR="00AB5FEA" w:rsidRDefault="00D0075B" w:rsidP="00AB5FEA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On </w:t>
      </w:r>
      <w:proofErr w:type="spellStart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Meuhedet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side - </w:t>
      </w:r>
      <w:r w:rsidR="00AB5FEA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Code validation performed with </w:t>
      </w:r>
      <w:proofErr w:type="spellStart"/>
      <w:r w:rsidR="00AB5FEA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>Tibco</w:t>
      </w:r>
      <w:proofErr w:type="spellEnd"/>
      <w:r w:rsidR="00AB5FEA" w:rsidRPr="00062872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Active matrix base tools.</w:t>
      </w:r>
    </w:p>
    <w:p w14:paraId="5C78759B" w14:textId="2B50449F" w:rsidR="00D0075B" w:rsidRPr="00CE5CCB" w:rsidRDefault="00D0075B" w:rsidP="00D0075B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proofErr w:type="spellStart"/>
      <w:r w:rsidRPr="00D0075B">
        <w:rPr>
          <w:rFonts w:ascii="Calibri" w:eastAsia="Calibri" w:hAnsi="Calibri" w:cs="Calibri"/>
          <w:b/>
          <w:bCs/>
          <w:color w:val="FF0000"/>
          <w:sz w:val="24"/>
          <w:szCs w:val="24"/>
        </w:rPr>
        <w:t>Soraski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side - </w:t>
      </w:r>
      <w:r w:rsidRPr="00CE5CCB">
        <w:rPr>
          <w:rFonts w:ascii="Calibri" w:eastAsia="Calibri" w:hAnsi="Calibri" w:cs="Calibri"/>
          <w:b/>
          <w:bCs/>
          <w:color w:val="FF0000"/>
          <w:sz w:val="24"/>
          <w:szCs w:val="24"/>
        </w:rPr>
        <w:t>ode Systems are validated as part of their acceptance as part of the resource i</w:t>
      </w:r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n </w:t>
      </w:r>
      <w:proofErr w:type="spellStart"/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>HealthShare</w:t>
      </w:r>
      <w:proofErr w:type="spellEnd"/>
      <w:r w:rsidR="0077521D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Health Connect - </w:t>
      </w:r>
      <w:r w:rsidRPr="00CE5CCB">
        <w:rPr>
          <w:rFonts w:ascii="Calibri" w:eastAsia="Calibri" w:hAnsi="Calibri" w:cs="Calibri"/>
          <w:b/>
          <w:bCs/>
          <w:color w:val="FF0000"/>
          <w:sz w:val="24"/>
          <w:szCs w:val="24"/>
        </w:rPr>
        <w:t>online checking.</w:t>
      </w:r>
    </w:p>
    <w:p w14:paraId="14449F1E" w14:textId="77777777" w:rsidR="00D0075B" w:rsidRPr="00062872" w:rsidRDefault="00D0075B" w:rsidP="00AB5FEA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2798F347" w14:textId="77777777" w:rsidR="00142B9C" w:rsidRDefault="00142B9C">
      <w:pPr>
        <w:rPr>
          <w:rFonts w:ascii="Calibri" w:eastAsia="Calibri" w:hAnsi="Calibri" w:cs="Calibri"/>
          <w:color w:val="434343"/>
          <w:sz w:val="28"/>
          <w:szCs w:val="28"/>
        </w:rPr>
      </w:pPr>
    </w:p>
    <w:p w14:paraId="31B9B92B" w14:textId="77777777" w:rsidR="00142B9C" w:rsidRDefault="00062872">
      <w:r>
        <w:rPr>
          <w:rFonts w:ascii="Calibri" w:eastAsia="Calibri" w:hAnsi="Calibri" w:cs="Calibri"/>
          <w:color w:val="434343"/>
          <w:sz w:val="28"/>
          <w:szCs w:val="28"/>
        </w:rPr>
        <w:t>Implementation approaches</w:t>
      </w:r>
      <w:r>
        <w:t xml:space="preserve"> </w:t>
      </w:r>
    </w:p>
    <w:tbl>
      <w:tblPr>
        <w:tblStyle w:val="a5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42B9C" w14:paraId="55BEDA2A" w14:textId="77777777">
        <w:trPr>
          <w:trHeight w:val="5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018050" w14:textId="77777777" w:rsidR="00142B9C" w:rsidRDefault="00142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440CB" w14:textId="77777777" w:rsidR="00142B9C" w:rsidRDefault="0006287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FHIR server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56B3BE" w14:textId="77777777" w:rsidR="00142B9C" w:rsidRDefault="0006287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FHIR Façade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A4D94" w14:textId="77777777" w:rsidR="00142B9C" w:rsidRDefault="0006287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Messaging</w:t>
            </w:r>
          </w:p>
        </w:tc>
      </w:tr>
      <w:tr w:rsidR="00142B9C" w14:paraId="330F457F" w14:textId="77777777">
        <w:trPr>
          <w:trHeight w:val="202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46E54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Legend: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- </w:t>
            </w:r>
            <w:r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Green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well suited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-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9900"/>
              </w:rPr>
              <w:t>Orange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partially suited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- </w:t>
            </w:r>
            <w:r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 xml:space="preserve">Red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Ill suited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43AA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online request/response style communication with the data persisted in the FHIR server itself and replicated in/out to other systems as necessary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9E9B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online request/response style communication without persisting the data, but rather dynamically translating online requests to/from FHIR and forwarding them to other systems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95F3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asynchronous/batch communication, exchanging FHIR payload via message bus/queue/file shares/</w:t>
            </w:r>
            <w:r>
              <w:rPr>
                <w:rFonts w:ascii="Calibri" w:eastAsia="Calibri" w:hAnsi="Calibri" w:cs="Times New Roman"/>
                <w:sz w:val="18"/>
                <w:szCs w:val="18"/>
                <w:rtl/>
              </w:rPr>
              <w:t>כספות</w:t>
            </w:r>
          </w:p>
        </w:tc>
      </w:tr>
      <w:tr w:rsidR="00142B9C" w14:paraId="5EF6B926" w14:textId="77777777">
        <w:trPr>
          <w:trHeight w:val="11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E9F825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Large dataset used by / originated in other organizational systems that do not support FHIR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E18993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676FB2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34C859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</w:tr>
      <w:tr w:rsidR="00142B9C" w14:paraId="132FF24B" w14:textId="77777777">
        <w:trPr>
          <w:trHeight w:val="108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29D733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Small dataset / dataset dedicated for specific task and not used by other systems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184AF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C2083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383401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</w:tr>
      <w:tr w:rsidR="00142B9C" w14:paraId="4D5A62ED" w14:textId="77777777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ED853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Business needs call for online interaction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6DC105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2A0A1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2902B9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</w:tr>
      <w:tr w:rsidR="00142B9C" w14:paraId="4CB8D023" w14:textId="77777777">
        <w:trPr>
          <w:trHeight w:val="75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91FCE2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must be in sync with other systems in near-real time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9F3B53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B3B517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3740AB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</w:tr>
      <w:tr w:rsidR="00142B9C" w14:paraId="2503106D" w14:textId="77777777">
        <w:trPr>
          <w:trHeight w:val="863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15BDD5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System must support high number of concurrent requests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07C89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563351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FB6FF7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</w:tr>
      <w:tr w:rsidR="00142B9C" w14:paraId="3C92416B" w14:textId="77777777">
        <w:trPr>
          <w:trHeight w:val="77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9FA32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Time to market &amp; solution complexity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0066A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2D777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0D619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</w:tr>
      <w:tr w:rsidR="00142B9C" w14:paraId="3E6EBB57" w14:textId="77777777">
        <w:trPr>
          <w:trHeight w:val="11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E47286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Business needs require advanced functionality on the server side (e.g. search)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0A518D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E76404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F4C677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</w:tr>
      <w:tr w:rsidR="00142B9C" w14:paraId="015B043E" w14:textId="77777777">
        <w:trPr>
          <w:trHeight w:val="80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15D90A" w14:textId="77777777" w:rsidR="00142B9C" w:rsidRDefault="000628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Large volumes of data must be transferred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B9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3425B5" w14:textId="77777777" w:rsidR="00142B9C" w:rsidRDefault="00062872">
            <w:pPr>
              <w:rPr>
                <w:rFonts w:ascii="Calibri" w:eastAsia="Calibri" w:hAnsi="Calibri" w:cs="Calibri"/>
                <w:color w:val="9C57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57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7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758C2" w14:textId="77777777" w:rsidR="00142B9C" w:rsidRDefault="00062872">
            <w:pPr>
              <w:rPr>
                <w:rFonts w:ascii="Calibri" w:eastAsia="Calibri" w:hAnsi="Calibri" w:cs="Calibri"/>
                <w:color w:val="9C000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C0006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FC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34F9AB" w14:textId="77777777" w:rsidR="00142B9C" w:rsidRDefault="00062872">
            <w:pPr>
              <w:rPr>
                <w:rFonts w:ascii="Calibri" w:eastAsia="Calibri" w:hAnsi="Calibri" w:cs="Calibri"/>
                <w:color w:val="0061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6100"/>
                <w:sz w:val="18"/>
                <w:szCs w:val="18"/>
              </w:rPr>
              <w:t xml:space="preserve"> </w:t>
            </w:r>
          </w:p>
        </w:tc>
      </w:tr>
    </w:tbl>
    <w:p w14:paraId="1BBE8063" w14:textId="77777777" w:rsidR="00142B9C" w:rsidRDefault="00142B9C"/>
    <w:p w14:paraId="765022D7" w14:textId="77777777" w:rsidR="00142B9C" w:rsidRDefault="00062872">
      <w:pPr>
        <w:pStyle w:val="3"/>
        <w:rPr>
          <w:rFonts w:ascii="Calibri" w:eastAsia="Calibri" w:hAnsi="Calibri" w:cs="Calibri"/>
        </w:rPr>
      </w:pPr>
      <w:bookmarkStart w:id="3" w:name="_xh6cg9h5ruzk" w:colFirst="0" w:colLast="0"/>
      <w:bookmarkEnd w:id="3"/>
      <w:r>
        <w:rPr>
          <w:rFonts w:ascii="Calibri" w:eastAsia="Calibri" w:hAnsi="Calibri" w:cs="Calibri"/>
        </w:rPr>
        <w:t>Implementation approaches diagrams</w:t>
      </w:r>
    </w:p>
    <w:p w14:paraId="7B558561" w14:textId="77777777" w:rsidR="00142B9C" w:rsidRDefault="00062872">
      <w:pPr>
        <w:pStyle w:val="4"/>
        <w:numPr>
          <w:ilvl w:val="0"/>
          <w:numId w:val="1"/>
        </w:numPr>
        <w:rPr>
          <w:rFonts w:ascii="Calibri" w:eastAsia="Calibri" w:hAnsi="Calibri" w:cs="Calibri"/>
        </w:rPr>
      </w:pPr>
      <w:bookmarkStart w:id="4" w:name="_sxxlgnjbrmsg" w:colFirst="0" w:colLast="0"/>
      <w:bookmarkEnd w:id="4"/>
      <w:r>
        <w:rPr>
          <w:rFonts w:ascii="Calibri" w:eastAsia="Calibri" w:hAnsi="Calibri" w:cs="Calibri"/>
        </w:rPr>
        <w:t>Approach #1 - using FHIR server</w:t>
      </w:r>
    </w:p>
    <w:p w14:paraId="1AEAD8CB" w14:textId="77777777" w:rsidR="00142B9C" w:rsidRDefault="00062872">
      <w:r>
        <w:rPr>
          <w:noProof/>
          <w:lang w:val="en-US"/>
        </w:rPr>
        <w:drawing>
          <wp:inline distT="114300" distB="114300" distL="114300" distR="114300" wp14:anchorId="4DCD6969" wp14:editId="5C51B463">
            <wp:extent cx="5943600" cy="29718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8BB5A5" w14:textId="77777777" w:rsidR="00142B9C" w:rsidRDefault="00142B9C"/>
    <w:p w14:paraId="10C442E0" w14:textId="77777777" w:rsidR="00142B9C" w:rsidRDefault="00062872">
      <w:pPr>
        <w:pStyle w:val="4"/>
        <w:numPr>
          <w:ilvl w:val="0"/>
          <w:numId w:val="1"/>
        </w:numPr>
        <w:rPr>
          <w:rFonts w:ascii="Calibri" w:eastAsia="Calibri" w:hAnsi="Calibri" w:cs="Calibri"/>
        </w:rPr>
      </w:pPr>
      <w:bookmarkStart w:id="5" w:name="_vvne87fry3a" w:colFirst="0" w:colLast="0"/>
      <w:bookmarkEnd w:id="5"/>
      <w:r>
        <w:rPr>
          <w:rFonts w:ascii="Calibri" w:eastAsia="Calibri" w:hAnsi="Calibri" w:cs="Calibri"/>
        </w:rPr>
        <w:t>Approach #2: Using a FHIR Façade</w:t>
      </w:r>
    </w:p>
    <w:p w14:paraId="54464D3C" w14:textId="77777777" w:rsidR="00142B9C" w:rsidRDefault="00062872">
      <w:r>
        <w:rPr>
          <w:noProof/>
          <w:lang w:val="en-US"/>
        </w:rPr>
        <w:drawing>
          <wp:inline distT="114300" distB="114300" distL="114300" distR="114300" wp14:anchorId="45823299" wp14:editId="2EDC025B">
            <wp:extent cx="5943600" cy="2971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0DEA0A" w14:textId="77777777" w:rsidR="00142B9C" w:rsidRDefault="00142B9C"/>
    <w:p w14:paraId="38D8430C" w14:textId="77777777" w:rsidR="00142B9C" w:rsidRDefault="00062872">
      <w:pPr>
        <w:pStyle w:val="4"/>
        <w:numPr>
          <w:ilvl w:val="0"/>
          <w:numId w:val="1"/>
        </w:numPr>
        <w:rPr>
          <w:rFonts w:ascii="Calibri" w:eastAsia="Calibri" w:hAnsi="Calibri" w:cs="Calibri"/>
        </w:rPr>
      </w:pPr>
      <w:bookmarkStart w:id="6" w:name="_fxknsivv3lef" w:colFirst="0" w:colLast="0"/>
      <w:bookmarkEnd w:id="6"/>
      <w:r>
        <w:rPr>
          <w:rFonts w:ascii="Calibri" w:eastAsia="Calibri" w:hAnsi="Calibri" w:cs="Calibri"/>
        </w:rPr>
        <w:t>Approach # 3: Using Asynchronous messaging</w:t>
      </w:r>
    </w:p>
    <w:p w14:paraId="5B90ECCA" w14:textId="77777777" w:rsidR="00142B9C" w:rsidRDefault="00062872">
      <w:r>
        <w:rPr>
          <w:noProof/>
          <w:lang w:val="en-US"/>
        </w:rPr>
        <w:drawing>
          <wp:inline distT="114300" distB="114300" distL="114300" distR="114300" wp14:anchorId="495330AE" wp14:editId="177F51F7">
            <wp:extent cx="5943600" cy="32004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D8DB85" w14:textId="77777777" w:rsidR="00142B9C" w:rsidRDefault="00142B9C"/>
    <w:sectPr w:rsidR="00142B9C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72D1" w16cex:dateUtc="2021-11-22T17:49:00Z"/>
  <w16cex:commentExtensible w16cex:durableId="254672F3" w16cex:dateUtc="2021-11-22T17:50:00Z"/>
  <w16cex:commentExtensible w16cex:durableId="24E85364" w16cex:dateUtc="2021-08-08T15:28:00Z"/>
  <w16cex:commentExtensible w16cex:durableId="2536D3A0" w16cex:dateUtc="2021-08-08T16:20:00Z"/>
  <w16cex:commentExtensible w16cex:durableId="2546736C" w16cex:dateUtc="2021-11-22T17:52:00Z"/>
  <w16cex:commentExtensible w16cex:durableId="24E85367" w16cex:dateUtc="2021-08-08T16:22:00Z"/>
  <w16cex:commentExtensible w16cex:durableId="25467380" w16cex:dateUtc="2021-11-22T1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6F916" w16cid:durableId="254672D1"/>
  <w16cid:commentId w16cid:paraId="0B9E5B28" w16cid:durableId="254672F3"/>
  <w16cid:commentId w16cid:paraId="11EE1388" w16cid:durableId="24E85364"/>
  <w16cid:commentId w16cid:paraId="2F9A3389" w16cid:durableId="2536D3A0"/>
  <w16cid:commentId w16cid:paraId="212A3D1A" w16cid:durableId="2546736C"/>
  <w16cid:commentId w16cid:paraId="09618867" w16cid:durableId="24E85367"/>
  <w16cid:commentId w16cid:paraId="39FFEF37" w16cid:durableId="254673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A267" w14:textId="77777777" w:rsidR="00C60B13" w:rsidRDefault="00C60B13">
      <w:pPr>
        <w:spacing w:line="240" w:lineRule="auto"/>
      </w:pPr>
      <w:r>
        <w:separator/>
      </w:r>
    </w:p>
  </w:endnote>
  <w:endnote w:type="continuationSeparator" w:id="0">
    <w:p w14:paraId="7AF8855D" w14:textId="77777777" w:rsidR="00C60B13" w:rsidRDefault="00C60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3A82" w14:textId="77777777" w:rsidR="00C60B13" w:rsidRDefault="00C60B13">
      <w:pPr>
        <w:spacing w:line="240" w:lineRule="auto"/>
      </w:pPr>
      <w:r>
        <w:separator/>
      </w:r>
    </w:p>
  </w:footnote>
  <w:footnote w:type="continuationSeparator" w:id="0">
    <w:p w14:paraId="04463490" w14:textId="77777777" w:rsidR="00C60B13" w:rsidRDefault="00C60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EBB9" w14:textId="77777777" w:rsidR="00142B9C" w:rsidRDefault="00062872">
    <w:r>
      <w:rPr>
        <w:noProof/>
        <w:lang w:val="en-US"/>
      </w:rPr>
      <w:drawing>
        <wp:inline distT="114300" distB="114300" distL="114300" distR="114300" wp14:anchorId="60B54969" wp14:editId="25CE1A89">
          <wp:extent cx="5943600" cy="8763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7BF"/>
    <w:multiLevelType w:val="multilevel"/>
    <w:tmpl w:val="05726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697398"/>
    <w:multiLevelType w:val="multilevel"/>
    <w:tmpl w:val="BF9A0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C"/>
    <w:rsid w:val="00042737"/>
    <w:rsid w:val="00062872"/>
    <w:rsid w:val="00142B9C"/>
    <w:rsid w:val="00174776"/>
    <w:rsid w:val="00185EAE"/>
    <w:rsid w:val="001A611F"/>
    <w:rsid w:val="001C61EE"/>
    <w:rsid w:val="001D0E44"/>
    <w:rsid w:val="0021187A"/>
    <w:rsid w:val="00254CC0"/>
    <w:rsid w:val="002D6E1F"/>
    <w:rsid w:val="003037F9"/>
    <w:rsid w:val="00304C6A"/>
    <w:rsid w:val="00306865"/>
    <w:rsid w:val="003D05D0"/>
    <w:rsid w:val="003D15BF"/>
    <w:rsid w:val="003D638D"/>
    <w:rsid w:val="003E4D45"/>
    <w:rsid w:val="00410C7D"/>
    <w:rsid w:val="0042210E"/>
    <w:rsid w:val="004339EB"/>
    <w:rsid w:val="00470DC4"/>
    <w:rsid w:val="00471BC8"/>
    <w:rsid w:val="00476059"/>
    <w:rsid w:val="004E7530"/>
    <w:rsid w:val="0051423E"/>
    <w:rsid w:val="00577DE7"/>
    <w:rsid w:val="005C1542"/>
    <w:rsid w:val="005E2DC3"/>
    <w:rsid w:val="00611BF3"/>
    <w:rsid w:val="006869DA"/>
    <w:rsid w:val="006A5AE2"/>
    <w:rsid w:val="006C4284"/>
    <w:rsid w:val="006C705D"/>
    <w:rsid w:val="007540FE"/>
    <w:rsid w:val="00764118"/>
    <w:rsid w:val="0077521D"/>
    <w:rsid w:val="00781429"/>
    <w:rsid w:val="0078355E"/>
    <w:rsid w:val="00797C9A"/>
    <w:rsid w:val="007C09F0"/>
    <w:rsid w:val="007E2051"/>
    <w:rsid w:val="007F2B4F"/>
    <w:rsid w:val="00880B45"/>
    <w:rsid w:val="00895489"/>
    <w:rsid w:val="00897359"/>
    <w:rsid w:val="008C294F"/>
    <w:rsid w:val="00930E94"/>
    <w:rsid w:val="00933C78"/>
    <w:rsid w:val="009412BD"/>
    <w:rsid w:val="00952494"/>
    <w:rsid w:val="009C4BA8"/>
    <w:rsid w:val="009D7E38"/>
    <w:rsid w:val="00A002E3"/>
    <w:rsid w:val="00A60A96"/>
    <w:rsid w:val="00A634ED"/>
    <w:rsid w:val="00A81334"/>
    <w:rsid w:val="00A97A77"/>
    <w:rsid w:val="00AB14FC"/>
    <w:rsid w:val="00AB5FEA"/>
    <w:rsid w:val="00B05613"/>
    <w:rsid w:val="00B05CE5"/>
    <w:rsid w:val="00BA3EAA"/>
    <w:rsid w:val="00BB55E2"/>
    <w:rsid w:val="00BD2408"/>
    <w:rsid w:val="00BD7931"/>
    <w:rsid w:val="00C60B13"/>
    <w:rsid w:val="00C60EEC"/>
    <w:rsid w:val="00C67CE0"/>
    <w:rsid w:val="00C85104"/>
    <w:rsid w:val="00C934F1"/>
    <w:rsid w:val="00CE5CCB"/>
    <w:rsid w:val="00CE778A"/>
    <w:rsid w:val="00D0075B"/>
    <w:rsid w:val="00D105FC"/>
    <w:rsid w:val="00D558D5"/>
    <w:rsid w:val="00D61661"/>
    <w:rsid w:val="00DA3C01"/>
    <w:rsid w:val="00DA5AF3"/>
    <w:rsid w:val="00E214F1"/>
    <w:rsid w:val="00E311A5"/>
    <w:rsid w:val="00E32E51"/>
    <w:rsid w:val="00E71D20"/>
    <w:rsid w:val="00EA19FC"/>
    <w:rsid w:val="00EC5391"/>
    <w:rsid w:val="00ED42E8"/>
    <w:rsid w:val="00F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8E17"/>
  <w15:docId w15:val="{5430508C-21AB-43BB-B386-4B7FC14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C09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09F0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C09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09F0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C09F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09F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7C09F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FD78E6E5FB84DB08BDC27FB0DAA63" ma:contentTypeVersion="11" ma:contentTypeDescription="Create a new document." ma:contentTypeScope="" ma:versionID="816d8f436cb298159833297f2535c276">
  <xsd:schema xmlns:xsd="http://www.w3.org/2001/XMLSchema" xmlns:xs="http://www.w3.org/2001/XMLSchema" xmlns:p="http://schemas.microsoft.com/office/2006/metadata/properties" xmlns:ns2="a632052f-a5df-4894-92a6-84ab44d5e445" xmlns:ns3="150337c0-beec-4acc-9fd0-69b63e981bb6" targetNamespace="http://schemas.microsoft.com/office/2006/metadata/properties" ma:root="true" ma:fieldsID="1f79846d3610e4cfe9475c701cae16d6" ns2:_="" ns3:_="">
    <xsd:import namespace="a632052f-a5df-4894-92a6-84ab44d5e445"/>
    <xsd:import namespace="150337c0-beec-4acc-9fd0-69b63e981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052f-a5df-4894-92a6-84ab44d5e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337c0-beec-4acc-9fd0-69b63e981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0337c0-beec-4acc-9fd0-69b63e981bb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65A7FC-4052-4373-AC54-69D6B977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052f-a5df-4894-92a6-84ab44d5e445"/>
    <ds:schemaRef ds:uri="150337c0-beec-4acc-9fd0-69b63e981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B07AC-394D-4D2D-88AD-DEB51FF4C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6E3C1-3450-4A32-9362-AAB7CF573500}">
  <ds:schemaRefs>
    <ds:schemaRef ds:uri="a632052f-a5df-4894-92a6-84ab44d5e44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50337c0-beec-4acc-9fd0-69b63e981bb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1412</Words>
  <Characters>7065</Characters>
  <Application>Microsoft Office Word</Application>
  <DocSecurity>4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Meuhedet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גל פרפרי</dc:creator>
  <cp:lastModifiedBy>רון חרמון</cp:lastModifiedBy>
  <cp:revision>2</cp:revision>
  <dcterms:created xsi:type="dcterms:W3CDTF">2022-05-26T08:31:00Z</dcterms:created>
  <dcterms:modified xsi:type="dcterms:W3CDTF">2022-05-26T08:31:00Z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0x010100D6DFD78E6E5FB84DB08BDC27FB0DAA63</vt:lpwstr>
  </property>
  <property fmtid="{D5CDD505-2E9C-101B-9397-08002B2CF9AE}" pid="3" name="Order">
    <vt:r8>25300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